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D4D4D4" w:sz="6" w:space="4"/>
        </w:pBdr>
        <w:tabs>
          <w:tab w:val="right" w:pos="9360"/>
        </w:tabs>
        <w:spacing w:after="60"/>
      </w:pPr>
      <w:r>
        <w:rPr>
          <w:rFonts w:ascii="Aptos" w:cs="Aptos" w:eastAsia="Aptos" w:hAnsi="Aptos"/>
          <w:b/>
          <w:bCs/>
          <w:color w:val="1F5C3D"/>
          <w:spacing w:val="12"/>
          <w:sz w:val="14"/>
          <w:szCs w:val="14"/>
        </w:rPr>
        <w:t xml:space="preserve">ATLAS  ·  CASE STUDY  ·  WEALTHSIMPLE</w:t>
      </w:r>
      <w:r>
        <w:rPr>
          <w:rFonts w:ascii="Aptos" w:cs="Aptos" w:eastAsia="Aptos" w:hAnsi="Aptos"/>
          <w:color w:val="737373"/>
          <w:spacing w:val="4"/>
          <w:sz w:val="14"/>
          <w:szCs w:val="14"/>
        </w:rPr>
        <w:t xml:space="preserve">	By Alex  ·  April 2026</w:t>
      </w:r>
    </w:p>
    <w:p>
      <w:pPr>
        <w:spacing w:after="40" w:before="120"/>
      </w:pPr>
      <w:r>
        <w:rPr>
          <w:rFonts w:ascii="Aptos" w:cs="Aptos" w:eastAsia="Aptos" w:hAnsi="Aptos"/>
          <w:b/>
          <w:bCs/>
          <w:color w:val="1F5C3D"/>
          <w:spacing w:val="16"/>
          <w:sz w:val="13"/>
          <w:szCs w:val="13"/>
        </w:rPr>
        <w:t xml:space="preserve">00  ·  THE BIG IDEA</w:t>
      </w:r>
    </w:p>
    <w:p>
      <w:pPr>
        <w:spacing w:after="100" w:before="60"/>
      </w:pPr>
      <w:r>
        <w:rPr>
          <w:rFonts w:ascii="Cambria" w:cs="Cambria" w:eastAsia="Cambria" w:hAnsi="Cambria"/>
          <w:color w:val="32302F"/>
          <w:sz w:val="32"/>
          <w:szCs w:val="32"/>
        </w:rPr>
        <w:t xml:space="preserve">One client. One system. Two surfaces.</w:t>
      </w:r>
    </w:p>
    <w:p>
      <w:pPr>
        <w:spacing w:after="160" w:before="0" w:line="280"/>
      </w:pPr>
      <w:r>
        <w:rPr>
          <w:rFonts w:ascii="Aptos" w:cs="Aptos" w:eastAsia="Aptos" w:hAnsi="Aptos"/>
          <w:color w:val="32302F"/>
          <w:sz w:val="18"/>
          <w:szCs w:val="18"/>
        </w:rPr>
        <w:t xml:space="preserve">Today, the advised client experience and the advisor's tools are </w:t>
      </w:r>
      <w:r>
        <w:rPr>
          <w:rFonts w:ascii="Aptos" w:cs="Aptos" w:eastAsia="Aptos" w:hAnsi="Aptos"/>
          <w:b/>
          <w:bCs/>
          <w:color w:val="32302F"/>
          <w:sz w:val="18"/>
          <w:szCs w:val="18"/>
        </w:rPr>
        <w:t xml:space="preserve">two disconnected products</w:t>
      </w:r>
      <w:r>
        <w:rPr>
          <w:rFonts w:ascii="Aptos" w:cs="Aptos" w:eastAsia="Aptos" w:hAnsi="Aptos"/>
          <w:color w:val="32302F"/>
          <w:sz w:val="18"/>
          <w:szCs w:val="18"/>
        </w:rPr>
        <w:t xml:space="preserve">. Atlas treats them as </w:t>
      </w:r>
      <w:r>
        <w:rPr>
          <w:rFonts w:ascii="Aptos" w:cs="Aptos" w:eastAsia="Aptos" w:hAnsi="Aptos"/>
          <w:b/>
          <w:bCs/>
          <w:color w:val="32302F"/>
          <w:sz w:val="18"/>
          <w:szCs w:val="18"/>
        </w:rPr>
        <w:t xml:space="preserve">one</w:t>
      </w:r>
      <w:r>
        <w:rPr>
          <w:rFonts w:ascii="Aptos" w:cs="Aptos" w:eastAsia="Aptos" w:hAnsi="Aptos"/>
          <w:color w:val="32302F"/>
          <w:sz w:val="18"/>
          <w:szCs w:val="18"/>
        </w:rPr>
        <w:t xml:space="preserve"> — a single proactive intelligence layer with a client lens and an advisor lens. Same data, two views, segment-aware throughout, so every Generation client gets the same caliber of service regardless of advisor.</w:t>
      </w:r>
    </w:p>
    <w:p>
      <w:pPr>
        <w:spacing w:after="40" w:before="120"/>
      </w:pPr>
      <w:r>
        <w:rPr>
          <w:rFonts w:ascii="Aptos" w:cs="Aptos" w:eastAsia="Aptos" w:hAnsi="Aptos"/>
          <w:b/>
          <w:bCs/>
          <w:color w:val="1F5C3D"/>
          <w:spacing w:val="16"/>
          <w:sz w:val="13"/>
          <w:szCs w:val="13"/>
        </w:rPr>
        <w:t xml:space="preserve">Q1a  ·  SEGMENTATION FRAMEWORK</w:t>
      </w:r>
    </w:p>
    <w:p>
      <w:pPr>
        <w:spacing w:after="100" w:before="40"/>
      </w:pPr>
      <w:r>
        <w:rPr>
          <w:rFonts w:ascii="Cambria" w:cs="Cambria" w:eastAsia="Cambria" w:hAnsi="Cambria"/>
          <w:b w:val="false"/>
          <w:bCs w:val="false"/>
          <w:color w:val="32302F"/>
          <w:sz w:val="22"/>
          <w:szCs w:val="22"/>
        </w:rPr>
        <w:t xml:space="preserve">Three segments. One engine.</w:t>
      </w:r>
    </w:p>
    <w:p>
      <w:pPr>
        <w:spacing w:after="160" w:before="0" w:line="300"/>
      </w:pPr>
      <w:r>
        <w:rPr>
          <w:rFonts w:ascii="Aptos" w:cs="Aptos" w:eastAsia="Aptos" w:hAnsi="Aptos"/>
          <w:color w:val="32302F"/>
          <w:sz w:val="18"/>
          <w:szCs w:val="18"/>
        </w:rPr>
        <w:t xml:space="preserve">Segmentation is the precondition for consistency. Every product surface, agent output, and service motion below adapts to which of these three segments a client falls into.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Cambria" w:cs="Cambria" w:eastAsia="Cambria" w:hAnsi="Cambria"/>
                <w:color w:val="32302F"/>
                <w:sz w:val="17"/>
                <w:szCs w:val="17"/>
              </w:rPr>
              <w:t xml:space="preserve">Builders</w:t>
            </w:r>
          </w:p>
          <w:p>
            <w:pPr>
              <w:spacing w:after="0" w:before="30"/>
            </w:pPr>
            <w:r>
              <w:rPr>
                <w:rFonts w:ascii="Aptos" w:cs="Aptos" w:eastAsia="Aptos" w:hAnsi="Aptos"/>
                <w:b/>
                <w:bCs/>
                <w:color w:val="1F5C3D"/>
                <w:spacing w:val="6"/>
                <w:sz w:val="12"/>
                <w:szCs w:val="12"/>
              </w:rPr>
              <w:t xml:space="preserve">~30% of book</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30" w:line="260"/>
            </w:pPr>
            <w:r>
              <w:rPr>
                <w:rFonts w:ascii="Aptos" w:cs="Aptos" w:eastAsia="Aptos" w:hAnsi="Aptos"/>
                <w:color w:val="32302F"/>
                <w:sz w:val="15"/>
                <w:szCs w:val="15"/>
              </w:rPr>
              <w:t xml:space="preserve">Founders, operators, equity-rich. Concentrated wealth, complex structures. Liquidity events drive the relationship.</w:t>
            </w:r>
          </w:p>
          <w:p>
            <w:pPr>
              <w:spacing w:after="20" w:line="240"/>
            </w:pPr>
            <w:r>
              <w:rPr>
                <w:rFonts w:ascii="Aptos" w:cs="Aptos" w:eastAsia="Aptos" w:hAnsi="Aptos"/>
                <w:color w:val="525252"/>
                <w:sz w:val="13"/>
                <w:szCs w:val="13"/>
              </w:rPr>
              <w:t xml:space="preserve">Pain · tax timing on liquidity events · concentration risk · RSU/option scheduling.</w:t>
            </w:r>
          </w:p>
          <w:p>
            <w:pPr>
              <w:spacing w:after="0" w:line="240"/>
            </w:pPr>
            <w:r>
              <w:rPr>
                <w:rFonts w:ascii="Aptos" w:cs="Aptos" w:eastAsia="Aptos" w:hAnsi="Aptos"/>
                <w:color w:val="525252"/>
                <w:sz w:val="13"/>
                <w:szCs w:val="13"/>
              </w:rPr>
              <w:t xml:space="preserve">Motion · high-touch around triggers (vest, sale, exit). Low-touch otherwise.</w:t>
            </w:r>
          </w:p>
        </w:tc>
      </w:tr>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Cambria" w:cs="Cambria" w:eastAsia="Cambria" w:hAnsi="Cambria"/>
                <w:color w:val="32302F"/>
                <w:sz w:val="17"/>
                <w:szCs w:val="17"/>
              </w:rPr>
              <w:t xml:space="preserve">Compounders</w:t>
            </w:r>
          </w:p>
          <w:p>
            <w:pPr>
              <w:spacing w:after="0" w:before="30"/>
            </w:pPr>
            <w:r>
              <w:rPr>
                <w:rFonts w:ascii="Aptos" w:cs="Aptos" w:eastAsia="Aptos" w:hAnsi="Aptos"/>
                <w:b/>
                <w:bCs/>
                <w:color w:val="1F5C3D"/>
                <w:spacing w:val="6"/>
                <w:sz w:val="12"/>
                <w:szCs w:val="12"/>
              </w:rPr>
              <w:t xml:space="preserve">~50% of book</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30" w:line="260"/>
            </w:pPr>
            <w:r>
              <w:rPr>
                <w:rFonts w:ascii="Aptos" w:cs="Aptos" w:eastAsia="Aptos" w:hAnsi="Aptos"/>
                <w:color w:val="32302F"/>
                <w:sz w:val="15"/>
                <w:szCs w:val="15"/>
              </w:rPr>
              <w:t xml:space="preserve">Dual-income professionals. Diversified portfolios. In accumulation phase. Predictable life-stage events.</w:t>
            </w:r>
          </w:p>
          <w:p>
            <w:pPr>
              <w:spacing w:after="20" w:line="240"/>
            </w:pPr>
            <w:r>
              <w:rPr>
                <w:rFonts w:ascii="Aptos" w:cs="Aptos" w:eastAsia="Aptos" w:hAnsi="Aptos"/>
                <w:color w:val="525252"/>
                <w:sz w:val="13"/>
                <w:szCs w:val="13"/>
              </w:rPr>
              <w:t xml:space="preserve">Pain · cross-account optimization · contribution discipline · life-event readiness.</w:t>
            </w:r>
          </w:p>
          <w:p>
            <w:pPr>
              <w:spacing w:after="0" w:line="240"/>
            </w:pPr>
            <w:r>
              <w:rPr>
                <w:rFonts w:ascii="Aptos" w:cs="Aptos" w:eastAsia="Aptos" w:hAnsi="Aptos"/>
                <w:color w:val="525252"/>
                <w:sz w:val="13"/>
                <w:szCs w:val="13"/>
              </w:rPr>
              <w:t xml:space="preserve">Motion · predictable cadence (quarterly). Education-heavy. Milestone-based.</w:t>
            </w:r>
          </w:p>
        </w:tc>
      </w:tr>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Cambria" w:cs="Cambria" w:eastAsia="Cambria" w:hAnsi="Cambria"/>
                <w:color w:val="32302F"/>
                <w:sz w:val="17"/>
                <w:szCs w:val="17"/>
              </w:rPr>
              <w:t xml:space="preserve">Stewards</w:t>
            </w:r>
          </w:p>
          <w:p>
            <w:pPr>
              <w:spacing w:after="0" w:before="30"/>
            </w:pPr>
            <w:r>
              <w:rPr>
                <w:rFonts w:ascii="Aptos" w:cs="Aptos" w:eastAsia="Aptos" w:hAnsi="Aptos"/>
                <w:b/>
                <w:bCs/>
                <w:color w:val="1F5C3D"/>
                <w:spacing w:val="6"/>
                <w:sz w:val="12"/>
                <w:szCs w:val="12"/>
              </w:rPr>
              <w:t xml:space="preserve">~20% of book</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30" w:line="260"/>
            </w:pPr>
            <w:r>
              <w:rPr>
                <w:rFonts w:ascii="Aptos" w:cs="Aptos" w:eastAsia="Aptos" w:hAnsi="Aptos"/>
                <w:color w:val="32302F"/>
                <w:sz w:val="15"/>
                <w:szCs w:val="15"/>
              </w:rPr>
              <w:t xml:space="preserve">Transitioning or decumulating. Multi-generational households. Estate-complex.</w:t>
            </w:r>
          </w:p>
          <w:p>
            <w:pPr>
              <w:spacing w:after="20" w:line="240"/>
            </w:pPr>
            <w:r>
              <w:rPr>
                <w:rFonts w:ascii="Aptos" w:cs="Aptos" w:eastAsia="Aptos" w:hAnsi="Aptos"/>
                <w:color w:val="525252"/>
                <w:sz w:val="13"/>
                <w:szCs w:val="13"/>
              </w:rPr>
              <w:t xml:space="preserve">Pain · decumulation strategy · intergenerational transfer · charitable planning.</w:t>
            </w:r>
          </w:p>
          <w:p>
            <w:pPr>
              <w:spacing w:after="0" w:line="240"/>
            </w:pPr>
            <w:r>
              <w:rPr>
                <w:rFonts w:ascii="Aptos" w:cs="Aptos" w:eastAsia="Aptos" w:hAnsi="Aptos"/>
                <w:color w:val="525252"/>
                <w:sz w:val="13"/>
                <w:szCs w:val="13"/>
              </w:rPr>
              <w:t xml:space="preserve">Motion · deep, episodic, family-oriented. Network of external specialists.</w:t>
            </w:r>
          </w:p>
        </w:tc>
      </w:tr>
    </w:tbl>
    <w:p>
      <w:pPr>
        <w:spacing w:after="0" w:before="240"/>
      </w:pPr>
      <w:r>
        <w:t xml:space="preserve"/>
      </w:r>
    </w:p>
    <w:p>
      <w:pPr>
        <w:spacing w:after="40" w:before="120"/>
      </w:pPr>
      <w:r>
        <w:rPr>
          <w:rFonts w:ascii="Aptos" w:cs="Aptos" w:eastAsia="Aptos" w:hAnsi="Aptos"/>
          <w:b/>
          <w:bCs/>
          <w:color w:val="1F5C3D"/>
          <w:spacing w:val="16"/>
          <w:sz w:val="13"/>
          <w:szCs w:val="13"/>
        </w:rPr>
        <w:t xml:space="preserve">Q1b  ·  END-TO-END JOURNEY</w:t>
      </w:r>
    </w:p>
    <w:p>
      <w:pPr>
        <w:spacing w:after="100" w:before="40"/>
      </w:pPr>
      <w:r>
        <w:rPr>
          <w:rFonts w:ascii="Cambria" w:cs="Cambria" w:eastAsia="Cambria" w:hAnsi="Cambria"/>
          <w:b w:val="false"/>
          <w:bCs w:val="false"/>
          <w:color w:val="32302F"/>
          <w:sz w:val="22"/>
          <w:szCs w:val="22"/>
        </w:rPr>
        <w:t xml:space="preserve">The journey isn't thin after signup. It's thin during signup.</w:t>
      </w:r>
    </w:p>
    <w:p>
      <w:pPr>
        <w:spacing w:after="160" w:before="0" w:line="300"/>
      </w:pPr>
      <w:r>
        <w:rPr>
          <w:rFonts w:ascii="Aptos" w:cs="Aptos" w:eastAsia="Aptos" w:hAnsi="Aptos"/>
          <w:color w:val="32302F"/>
          <w:sz w:val="18"/>
          <w:szCs w:val="18"/>
        </w:rPr>
        <w:t xml:space="preserve">Audit findings (live product, April 2026): The signup flow asks for asset tier without mentioning the advisor or plan. Post-signup, the dedicated advisor surface exists — but Meetings is empty, Tasks is empty, Financial Plan reads "In progress" indefinitely, and "About Wealth Management" bounces clients to the marketing site. The infrastructure is there. The system that fills it isn't.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pacing w:val="8"/>
                <w:sz w:val="12"/>
                <w:szCs w:val="12"/>
              </w:rPr>
              <w:t xml:space="preserve">Phase 01</w:t>
            </w:r>
          </w:p>
          <w:p>
            <w:pPr>
              <w:spacing w:after="20" w:before="20"/>
            </w:pPr>
            <w:r>
              <w:rPr>
                <w:rFonts w:ascii="Cambria" w:cs="Cambria" w:eastAsia="Cambria" w:hAnsi="Cambria"/>
                <w:color w:val="32302F"/>
                <w:sz w:val="15"/>
                <w:szCs w:val="15"/>
              </w:rPr>
              <w:t xml:space="preserve">Welcome</w:t>
            </w:r>
          </w:p>
          <w:p>
            <w:pPr>
              <w:spacing w:after="0"/>
            </w:pPr>
            <w:r>
              <w:rPr>
                <w:rFonts w:ascii="Aptos" w:cs="Aptos" w:eastAsia="Aptos" w:hAnsi="Aptos"/>
                <w:color w:val="737373"/>
                <w:sz w:val="12"/>
                <w:szCs w:val="12"/>
              </w:rPr>
              <w:t xml:space="preserve">Day 1–7</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0" w:line="260"/>
            </w:pPr>
            <w:r>
              <w:rPr>
                <w:rFonts w:ascii="Aptos" w:cs="Aptos" w:eastAsia="Aptos" w:hAnsi="Aptos"/>
                <w:color w:val="32302F"/>
                <w:sz w:val="15"/>
                <w:szCs w:val="15"/>
              </w:rPr>
              <w:t xml:space="preserve">Welcome Specialist + advisor intro video before first call. Pre-call discovery in-app. Segment is captured by end of phase.</w:t>
            </w:r>
          </w:p>
        </w:tc>
      </w:tr>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pacing w:val="8"/>
                <w:sz w:val="12"/>
                <w:szCs w:val="12"/>
              </w:rPr>
              <w:t xml:space="preserve">Phase 02</w:t>
            </w:r>
          </w:p>
          <w:p>
            <w:pPr>
              <w:spacing w:after="20" w:before="20"/>
            </w:pPr>
            <w:r>
              <w:rPr>
                <w:rFonts w:ascii="Cambria" w:cs="Cambria" w:eastAsia="Cambria" w:hAnsi="Cambria"/>
                <w:color w:val="32302F"/>
                <w:sz w:val="15"/>
                <w:szCs w:val="15"/>
              </w:rPr>
              <w:t xml:space="preserve">Discovery &amp; Plan</w:t>
            </w:r>
          </w:p>
          <w:p>
            <w:pPr>
              <w:spacing w:after="0"/>
            </w:pPr>
            <w:r>
              <w:rPr>
                <w:rFonts w:ascii="Aptos" w:cs="Aptos" w:eastAsia="Aptos" w:hAnsi="Aptos"/>
                <w:color w:val="737373"/>
                <w:sz w:val="12"/>
                <w:szCs w:val="12"/>
              </w:rPr>
              <w:t xml:space="preserve">Week 1–3</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0" w:line="260"/>
            </w:pPr>
            <w:r>
              <w:rPr>
                <w:rFonts w:ascii="Aptos" w:cs="Aptos" w:eastAsia="Aptos" w:hAnsi="Aptos"/>
                <w:color w:val="32302F"/>
                <w:sz w:val="15"/>
                <w:szCs w:val="15"/>
              </w:rPr>
              <w:t xml:space="preserve">Plan delivered into the app — sliders, household view, advisor annotations live. Plan depth scales by segment.</w:t>
            </w:r>
          </w:p>
        </w:tc>
      </w:tr>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pacing w:val="8"/>
                <w:sz w:val="12"/>
                <w:szCs w:val="12"/>
              </w:rPr>
              <w:t xml:space="preserve">Phase 03</w:t>
            </w:r>
          </w:p>
          <w:p>
            <w:pPr>
              <w:spacing w:after="20" w:before="20"/>
            </w:pPr>
            <w:r>
              <w:rPr>
                <w:rFonts w:ascii="Cambria" w:cs="Cambria" w:eastAsia="Cambria" w:hAnsi="Cambria"/>
                <w:color w:val="32302F"/>
                <w:sz w:val="15"/>
                <w:szCs w:val="15"/>
              </w:rPr>
              <w:t xml:space="preserve">Implementation</w:t>
            </w:r>
          </w:p>
          <w:p>
            <w:pPr>
              <w:spacing w:after="0"/>
            </w:pPr>
            <w:r>
              <w:rPr>
                <w:rFonts w:ascii="Aptos" w:cs="Aptos" w:eastAsia="Aptos" w:hAnsi="Aptos"/>
                <w:color w:val="737373"/>
                <w:sz w:val="12"/>
                <w:szCs w:val="12"/>
              </w:rPr>
              <w:t xml:space="preserve">Month 1–2</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0" w:line="260"/>
            </w:pPr>
            <w:r>
              <w:rPr>
                <w:rFonts w:ascii="Aptos" w:cs="Aptos" w:eastAsia="Aptos" w:hAnsi="Aptos"/>
                <w:color w:val="32302F"/>
                <w:sz w:val="15"/>
                <w:szCs w:val="15"/>
              </w:rPr>
              <w:t xml:space="preserve">Tax migration plan + weekly digest during transfer. Auto-pre-filled flows. External-asset linking via Plaid.</w:t>
            </w:r>
          </w:p>
        </w:tc>
      </w:tr>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pacing w:val="8"/>
                <w:sz w:val="12"/>
                <w:szCs w:val="12"/>
              </w:rPr>
              <w:t xml:space="preserve">Phase 04</w:t>
            </w:r>
          </w:p>
          <w:p>
            <w:pPr>
              <w:spacing w:after="20" w:before="20"/>
            </w:pPr>
            <w:r>
              <w:rPr>
                <w:rFonts w:ascii="Cambria" w:cs="Cambria" w:eastAsia="Cambria" w:hAnsi="Cambria"/>
                <w:color w:val="32302F"/>
                <w:sz w:val="15"/>
                <w:szCs w:val="15"/>
              </w:rPr>
              <w:t xml:space="preserve">Steady State</w:t>
            </w:r>
          </w:p>
          <w:p>
            <w:pPr>
              <w:spacing w:after="0"/>
            </w:pPr>
            <w:r>
              <w:rPr>
                <w:rFonts w:ascii="Aptos" w:cs="Aptos" w:eastAsia="Aptos" w:hAnsi="Aptos"/>
                <w:color w:val="737373"/>
                <w:sz w:val="12"/>
                <w:szCs w:val="12"/>
              </w:rPr>
              <w:t xml:space="preserve">Year 1+</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0" w:line="260"/>
            </w:pPr>
            <w:r>
              <w:rPr>
                <w:rFonts w:ascii="Aptos" w:cs="Aptos" w:eastAsia="Aptos" w:hAnsi="Aptos"/>
                <w:color w:val="32302F"/>
                <w:sz w:val="15"/>
                <w:szCs w:val="15"/>
              </w:rPr>
              <w:t xml:space="preserve">Quarterly Atlas reviews · Moments outreach (segment-tuned) · 24/7 AI co-pilot · Annual Strategy Day.</w:t>
            </w:r>
          </w:p>
        </w:tc>
      </w:tr>
      <w:tr>
        <w:tc>
          <w:tcPr>
            <w:tcW w:type="dxa" w:w="14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pacing w:val="8"/>
                <w:sz w:val="12"/>
                <w:szCs w:val="12"/>
              </w:rPr>
              <w:t xml:space="preserve">Phase 05</w:t>
            </w:r>
          </w:p>
          <w:p>
            <w:pPr>
              <w:spacing w:after="20" w:before="20"/>
            </w:pPr>
            <w:r>
              <w:rPr>
                <w:rFonts w:ascii="Cambria" w:cs="Cambria" w:eastAsia="Cambria" w:hAnsi="Cambria"/>
                <w:color w:val="32302F"/>
                <w:sz w:val="15"/>
                <w:szCs w:val="15"/>
              </w:rPr>
              <w:t xml:space="preserve">Family Office</w:t>
            </w:r>
          </w:p>
          <w:p>
            <w:pPr>
              <w:spacing w:after="0"/>
            </w:pPr>
            <w:r>
              <w:rPr>
                <w:rFonts w:ascii="Aptos" w:cs="Aptos" w:eastAsia="Aptos" w:hAnsi="Aptos"/>
                <w:color w:val="737373"/>
                <w:sz w:val="12"/>
                <w:szCs w:val="12"/>
              </w:rPr>
              <w:t xml:space="preserve">Year 2+</w:t>
            </w:r>
          </w:p>
        </w:tc>
        <w:tc>
          <w:tcPr>
            <w:tcW w:type="dxa" w:w="79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0" w:line="260"/>
            </w:pPr>
            <w:r>
              <w:rPr>
                <w:rFonts w:ascii="Aptos" w:cs="Aptos" w:eastAsia="Aptos" w:hAnsi="Aptos"/>
                <w:color w:val="32302F"/>
                <w:sz w:val="15"/>
                <w:szCs w:val="15"/>
              </w:rPr>
              <w:t xml:space="preserve">Estate concierge · charitable giving · curated lawyer/accountant network · health bundled. Stewards-led offering.</w:t>
            </w:r>
          </w:p>
        </w:tc>
      </w:tr>
    </w:tbl>
    <w:p>
      <w:r>
        <w:br w:type="page"/>
      </w:r>
    </w:p>
    <w:p>
      <w:pPr>
        <w:pBdr>
          <w:bottom w:val="single" w:color="D4D4D4" w:sz="6" w:space="4"/>
        </w:pBdr>
        <w:tabs>
          <w:tab w:val="right" w:pos="9360"/>
        </w:tabs>
        <w:spacing w:after="60"/>
      </w:pPr>
      <w:r>
        <w:rPr>
          <w:rFonts w:ascii="Aptos" w:cs="Aptos" w:eastAsia="Aptos" w:hAnsi="Aptos"/>
          <w:b/>
          <w:bCs/>
          <w:color w:val="1F5C3D"/>
          <w:spacing w:val="12"/>
          <w:sz w:val="14"/>
          <w:szCs w:val="14"/>
        </w:rPr>
        <w:t xml:space="preserve">ATLAS  ·  CASE STUDY  ·  WEALTHSIMPLE</w:t>
      </w:r>
      <w:r>
        <w:rPr>
          <w:rFonts w:ascii="Aptos" w:cs="Aptos" w:eastAsia="Aptos" w:hAnsi="Aptos"/>
          <w:color w:val="737373"/>
          <w:spacing w:val="4"/>
          <w:sz w:val="14"/>
          <w:szCs w:val="14"/>
        </w:rPr>
        <w:t xml:space="preserve">	Page 2 of 2</w:t>
      </w:r>
    </w:p>
    <w:p>
      <w:pPr>
        <w:spacing w:after="40" w:before="120"/>
      </w:pPr>
      <w:r>
        <w:rPr>
          <w:rFonts w:ascii="Aptos" w:cs="Aptos" w:eastAsia="Aptos" w:hAnsi="Aptos"/>
          <w:b/>
          <w:bCs/>
          <w:color w:val="1F5C3D"/>
          <w:spacing w:val="16"/>
          <w:sz w:val="13"/>
          <w:szCs w:val="13"/>
        </w:rPr>
        <w:t xml:space="preserve">Q2  ·  AI TOOLS · DELIVERED VIA SLACK &amp; EMAIL</w:t>
      </w:r>
    </w:p>
    <w:p>
      <w:pPr>
        <w:spacing w:after="100" w:before="40"/>
      </w:pPr>
      <w:r>
        <w:rPr>
          <w:rFonts w:ascii="Cambria" w:cs="Cambria" w:eastAsia="Cambria" w:hAnsi="Cambria"/>
          <w:b w:val="false"/>
          <w:bCs w:val="false"/>
          <w:color w:val="32302F"/>
          <w:sz w:val="22"/>
          <w:szCs w:val="22"/>
        </w:rPr>
        <w:t xml:space="preserve">Three agents. Where advisors already work.</w:t>
      </w:r>
    </w:p>
    <w:p>
      <w:pPr>
        <w:spacing w:after="120" w:before="0" w:line="270"/>
      </w:pPr>
      <w:r>
        <w:rPr>
          <w:rFonts w:ascii="Aptos" w:cs="Aptos" w:eastAsia="Aptos" w:hAnsi="Aptos"/>
          <w:color w:val="32302F"/>
          <w:sz w:val="18"/>
          <w:szCs w:val="18"/>
        </w:rPr>
        <w:t xml:space="preserve">Each tool is buildable in 3–6 weeks on existing CRM data + an LLM wrapper. Critically, they're delivered into Slack and email — the channels advisors already use — not as a separate dashboard. Segmentation drives what each agent surfaces.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8660"/>
      </w:tblGrid>
      <w:tr>
        <w:tc>
          <w:tcPr>
            <w:tcW w:type="dxa" w:w="7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z w:val="14"/>
                <w:szCs w:val="14"/>
              </w:rPr>
              <w:t xml:space="preserve">T1</w:t>
            </w:r>
          </w:p>
        </w:tc>
        <w:tc>
          <w:tcPr>
            <w:tcW w:type="dxa" w:w="86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20"/>
            </w:pPr>
            <w:r>
              <w:rPr>
                <w:rFonts w:ascii="Cambria" w:cs="Cambria" w:eastAsia="Cambria" w:hAnsi="Cambria"/>
                <w:color w:val="32302F"/>
                <w:sz w:val="16"/>
                <w:szCs w:val="16"/>
              </w:rPr>
              <w:t xml:space="preserve">Advisor Brief</w:t>
            </w:r>
          </w:p>
          <w:p>
            <w:pPr>
              <w:spacing w:after="40"/>
            </w:pPr>
            <w:r>
              <w:rPr>
                <w:rFonts w:ascii="Aptos" w:cs="Aptos" w:eastAsia="Aptos" w:hAnsi="Aptos"/>
                <w:b/>
                <w:bCs/>
                <w:color w:val="1F5C3D"/>
                <w:sz w:val="12"/>
                <w:szCs w:val="12"/>
              </w:rPr>
              <w:t xml:space="preserve">Slack DM (daily 7am) + Email (24h pre-meeting)</w:t>
            </w:r>
          </w:p>
          <w:p>
            <w:pPr>
              <w:spacing w:after="30" w:line="250"/>
            </w:pPr>
            <w:r>
              <w:rPr>
                <w:rFonts w:ascii="Aptos" w:cs="Aptos" w:eastAsia="Aptos" w:hAnsi="Aptos"/>
                <w:color w:val="32302F"/>
                <w:sz w:val="14"/>
                <w:szCs w:val="14"/>
              </w:rPr>
              <w:t xml:space="preserve">Two messages, one agent. The morning Slack DM is a one-glance summary of the day. The pre-meeting email is the deep dive on a specific client.</w:t>
            </w:r>
          </w:p>
          <w:p>
            <w:pPr>
              <w:spacing w:after="30" w:line="250"/>
            </w:pPr>
            <w:r>
              <w:rPr>
                <w:rFonts w:ascii="Aptos" w:cs="Aptos" w:eastAsia="Aptos" w:hAnsi="Aptos"/>
                <w:color w:val="525252"/>
                <w:sz w:val="13"/>
                <w:szCs w:val="13"/>
              </w:rPr>
              <w:t xml:space="preserve">7am Slack: today's calendar, urgent items across book, market events affecting your clients. 24h pre-meeting email: portfolio changes, life events, last meeting opens, draft agenda. Segment-tuned: Builders see concentration first, Stewards see estate context.</w:t>
            </w:r>
          </w:p>
          <w:p>
            <w:pPr>
              <w:spacing w:after="0"/>
            </w:pPr>
            <w:r>
              <w:rPr>
                <w:rFonts w:ascii="Aptos" w:cs="Aptos" w:eastAsia="Aptos" w:hAnsi="Aptos"/>
                <w:b/>
                <w:bCs/>
                <w:color w:val="1F5C3D"/>
                <w:sz w:val="12"/>
                <w:szCs w:val="12"/>
              </w:rPr>
              <w:t xml:space="preserve">Prep time · 45 min → 8 min  ·  3-week build</w:t>
            </w:r>
          </w:p>
        </w:tc>
      </w:tr>
      <w:tr>
        <w:tc>
          <w:tcPr>
            <w:tcW w:type="dxa" w:w="7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z w:val="14"/>
                <w:szCs w:val="14"/>
              </w:rPr>
              <w:t xml:space="preserve">T2</w:t>
            </w:r>
          </w:p>
        </w:tc>
        <w:tc>
          <w:tcPr>
            <w:tcW w:type="dxa" w:w="86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20"/>
            </w:pPr>
            <w:r>
              <w:rPr>
                <w:rFonts w:ascii="Cambria" w:cs="Cambria" w:eastAsia="Cambria" w:hAnsi="Cambria"/>
                <w:color w:val="32302F"/>
                <w:sz w:val="16"/>
                <w:szCs w:val="16"/>
              </w:rPr>
              <w:t xml:space="preserve">Tax Opportunity Radar</w:t>
            </w:r>
          </w:p>
          <w:p>
            <w:pPr>
              <w:spacing w:after="40"/>
            </w:pPr>
            <w:r>
              <w:rPr>
                <w:rFonts w:ascii="Aptos" w:cs="Aptos" w:eastAsia="Aptos" w:hAnsi="Aptos"/>
                <w:b/>
                <w:bCs/>
                <w:color w:val="1F5C3D"/>
                <w:sz w:val="12"/>
                <w:szCs w:val="12"/>
              </w:rPr>
              <w:t xml:space="preserve">Email (weekly digest + ad-hoc alerts)</w:t>
            </w:r>
          </w:p>
          <w:p>
            <w:pPr>
              <w:spacing w:after="30" w:line="250"/>
            </w:pPr>
            <w:r>
              <w:rPr>
                <w:rFonts w:ascii="Aptos" w:cs="Aptos" w:eastAsia="Aptos" w:hAnsi="Aptos"/>
                <w:color w:val="32302F"/>
                <w:sz w:val="14"/>
                <w:szCs w:val="14"/>
              </w:rPr>
              <w:t xml:space="preserve">Continuous scan across all advised households. Surfaces $-quantified opportunities the advisor would have missed.</w:t>
            </w:r>
          </w:p>
          <w:p>
            <w:pPr>
              <w:spacing w:after="30" w:line="250"/>
            </w:pPr>
            <w:r>
              <w:rPr>
                <w:rFonts w:ascii="Aptos" w:cs="Aptos" w:eastAsia="Aptos" w:hAnsi="Aptos"/>
                <w:color w:val="525252"/>
                <w:sz w:val="13"/>
                <w:szCs w:val="13"/>
              </w:rPr>
              <w:t xml:space="preserve">Builders flagged for liquidity-event tax timing. Compounders for contribution gaps. Stewards for charitable bundling. Drafts a personalized client message in advisor's voice; advisor reviews + sends.</w:t>
            </w:r>
          </w:p>
          <w:p>
            <w:pPr>
              <w:spacing w:after="0"/>
            </w:pPr>
            <w:r>
              <w:rPr>
                <w:rFonts w:ascii="Aptos" w:cs="Aptos" w:eastAsia="Aptos" w:hAnsi="Aptos"/>
                <w:b/>
                <w:bCs/>
                <w:color w:val="1F5C3D"/>
                <w:sz w:val="12"/>
                <w:szCs w:val="12"/>
              </w:rPr>
              <w:t xml:space="preserve">+$3K avg/HH/yr in tax savings  ·  4-week build</w:t>
            </w:r>
          </w:p>
        </w:tc>
      </w:tr>
      <w:tr>
        <w:tc>
          <w:tcPr>
            <w:tcW w:type="dxa" w:w="7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z w:val="14"/>
                <w:szCs w:val="14"/>
              </w:rPr>
              <w:t xml:space="preserve">T3</w:t>
            </w:r>
          </w:p>
        </w:tc>
        <w:tc>
          <w:tcPr>
            <w:tcW w:type="dxa" w:w="8660"/>
            <w:tcBorders>
              <w:top w:val="single" w:color="D4D4D4" w:sz="4"/>
              <w:left w:val="none" w:color="FFFFFF" w:sz="0"/>
              <w:bottom w:val="none" w:color="FFFFFF" w:sz="0"/>
              <w:right w:val="none" w:color="FFFFFF" w:sz="0"/>
            </w:tcBorders>
            <w:tcMar>
              <w:top w:type="dxa" w:w="100"/>
              <w:left w:type="dxa" w:w="100"/>
              <w:bottom w:type="dxa" w:w="80"/>
              <w:right w:type="dxa" w:w="80"/>
            </w:tcMar>
          </w:tcPr>
          <w:p>
            <w:pPr>
              <w:spacing w:after="20"/>
            </w:pPr>
            <w:r>
              <w:rPr>
                <w:rFonts w:ascii="Cambria" w:cs="Cambria" w:eastAsia="Cambria" w:hAnsi="Cambria"/>
                <w:color w:val="32302F"/>
                <w:sz w:val="16"/>
                <w:szCs w:val="16"/>
              </w:rPr>
              <w:t xml:space="preserve">Atlas Co-pilot</w:t>
            </w:r>
          </w:p>
          <w:p>
            <w:pPr>
              <w:spacing w:after="40"/>
            </w:pPr>
            <w:r>
              <w:rPr>
                <w:rFonts w:ascii="Aptos" w:cs="Aptos" w:eastAsia="Aptos" w:hAnsi="Aptos"/>
                <w:b/>
                <w:bCs/>
                <w:color w:val="1F5C3D"/>
                <w:sz w:val="12"/>
                <w:szCs w:val="12"/>
              </w:rPr>
              <w:t xml:space="preserve">In-app chat (client-facing) + advisor approval queue</w:t>
            </w:r>
          </w:p>
          <w:p>
            <w:pPr>
              <w:spacing w:after="30" w:line="250"/>
            </w:pPr>
            <w:r>
              <w:rPr>
                <w:rFonts w:ascii="Aptos" w:cs="Aptos" w:eastAsia="Aptos" w:hAnsi="Aptos"/>
                <w:color w:val="32302F"/>
                <w:sz w:val="14"/>
                <w:szCs w:val="14"/>
              </w:rPr>
              <w:t xml:space="preserve">Conversational AI that knows the client's portfolio, plan, and the advisor's stated guidance.</w:t>
            </w:r>
          </w:p>
          <w:p>
            <w:pPr>
              <w:spacing w:after="30" w:line="250"/>
            </w:pPr>
            <w:r>
              <w:rPr>
                <w:rFonts w:ascii="Aptos" w:cs="Aptos" w:eastAsia="Aptos" w:hAnsi="Aptos"/>
                <w:color w:val="525252"/>
                <w:sz w:val="13"/>
                <w:szCs w:val="13"/>
              </w:rPr>
              <w:t xml:space="preserve">Cites every source. Per-segment escalation thresholds — Stewards escalate at lower stakes than Builders. Same model serves the advisor for prep work. Approval queue for any execution.</w:t>
            </w:r>
          </w:p>
          <w:p>
            <w:pPr>
              <w:spacing w:after="0"/>
            </w:pPr>
            <w:r>
              <w:rPr>
                <w:rFonts w:ascii="Aptos" w:cs="Aptos" w:eastAsia="Aptos" w:hAnsi="Aptos"/>
                <w:b/>
                <w:bCs/>
                <w:color w:val="1F5C3D"/>
                <w:sz w:val="12"/>
                <w:szCs w:val="12"/>
              </w:rPr>
              <w:t xml:space="preserve">&gt;70% of questions resolved without escalation  ·  6-week build</w:t>
            </w:r>
          </w:p>
        </w:tc>
      </w:tr>
    </w:tbl>
    <w:p>
      <w:pPr>
        <w:spacing w:after="0" w:before="200"/>
      </w:pPr>
      <w:r>
        <w:t xml:space="preserve"/>
      </w:r>
    </w:p>
    <w:p>
      <w:pPr>
        <w:spacing w:after="40" w:before="120"/>
      </w:pPr>
      <w:r>
        <w:rPr>
          <w:rFonts w:ascii="Aptos" w:cs="Aptos" w:eastAsia="Aptos" w:hAnsi="Aptos"/>
          <w:b/>
          <w:bCs/>
          <w:color w:val="1F5C3D"/>
          <w:spacing w:val="16"/>
          <w:sz w:val="13"/>
          <w:szCs w:val="13"/>
        </w:rPr>
        <w:t xml:space="preserve">Q3  ·  TOP THREE DIGITAL ADVICE FEATURES</w:t>
      </w:r>
    </w:p>
    <w:p>
      <w:pPr>
        <w:spacing w:after="100" w:before="40"/>
      </w:pPr>
      <w:r>
        <w:rPr>
          <w:rFonts w:ascii="Cambria" w:cs="Cambria" w:eastAsia="Cambria" w:hAnsi="Cambria"/>
          <w:b w:val="false"/>
          <w:bCs w:val="false"/>
          <w:color w:val="32302F"/>
          <w:sz w:val="22"/>
          <w:szCs w:val="22"/>
        </w:rPr>
        <w:t xml:space="preserve">Three features. All segments. Same engine.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8660"/>
      </w:tblGrid>
      <w:tr>
        <w:tc>
          <w:tcPr>
            <w:tcW w:type="dxa" w:w="7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z w:val="14"/>
                <w:szCs w:val="14"/>
              </w:rPr>
              <w:t xml:space="preserve">F1</w:t>
            </w:r>
          </w:p>
        </w:tc>
        <w:tc>
          <w:tcPr>
            <w:tcW w:type="dxa" w:w="8660"/>
            <w:tcBorders>
              <w:top w:val="single" w:color="D4D4D4" w:sz="4"/>
              <w:left w:val="none" w:color="FFFFFF" w:sz="0"/>
              <w:bottom w:val="none" w:color="FFFFFF" w:sz="0"/>
              <w:right w:val="none" w:color="FFFFFF" w:sz="0"/>
            </w:tcBorders>
            <w:tcMar>
              <w:top w:type="dxa" w:w="100"/>
              <w:left w:type="dxa" w:w="100"/>
              <w:bottom w:type="dxa" w:w="80"/>
              <w:right w:type="dxa" w:w="80"/>
            </w:tcMar>
          </w:tcPr>
          <w:p>
            <w:pPr>
              <w:tabs>
                <w:tab w:val="right" w:pos="8500"/>
              </w:tabs>
              <w:spacing w:after="30"/>
            </w:pPr>
            <w:r>
              <w:rPr>
                <w:rFonts w:ascii="Cambria" w:cs="Cambria" w:eastAsia="Cambria" w:hAnsi="Cambria"/>
                <w:color w:val="32302F"/>
                <w:sz w:val="16"/>
                <w:szCs w:val="16"/>
              </w:rPr>
              <w:t xml:space="preserve">The Living Plan</w:t>
            </w:r>
            <w:r>
              <w:rPr>
                <w:rFonts w:ascii="Aptos" w:cs="Aptos" w:eastAsia="Aptos" w:hAnsi="Aptos"/>
                <w:color w:val="737373"/>
                <w:sz w:val="12"/>
                <w:szCs w:val="12"/>
              </w:rPr>
              <w:t xml:space="preserve">	All segments · deepest for Compounders</w:t>
            </w:r>
          </w:p>
          <w:p>
            <w:pPr>
              <w:spacing w:after="0" w:line="250"/>
            </w:pPr>
            <w:r>
              <w:rPr>
                <w:rFonts w:ascii="Aptos" w:cs="Aptos" w:eastAsia="Aptos" w:hAnsi="Aptos"/>
                <w:color w:val="525252"/>
                <w:sz w:val="14"/>
                <w:szCs w:val="14"/>
              </w:rPr>
              <w:t xml:space="preserve">Upgrades the existing "Financial plan: In progress" placeholder to an active surface. Sliders, household view, advisor edits inline. Builders: scenario tab. Compounders: milestones. Stewards: decumulation modeling.</w:t>
            </w:r>
          </w:p>
        </w:tc>
      </w:tr>
      <w:tr>
        <w:tc>
          <w:tcPr>
            <w:tcW w:type="dxa" w:w="7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z w:val="14"/>
                <w:szCs w:val="14"/>
              </w:rPr>
              <w:t xml:space="preserve">F2</w:t>
            </w:r>
          </w:p>
        </w:tc>
        <w:tc>
          <w:tcPr>
            <w:tcW w:type="dxa" w:w="8660"/>
            <w:tcBorders>
              <w:top w:val="single" w:color="D4D4D4" w:sz="4"/>
              <w:left w:val="none" w:color="FFFFFF" w:sz="0"/>
              <w:bottom w:val="none" w:color="FFFFFF" w:sz="0"/>
              <w:right w:val="none" w:color="FFFFFF" w:sz="0"/>
            </w:tcBorders>
            <w:tcMar>
              <w:top w:type="dxa" w:w="100"/>
              <w:left w:type="dxa" w:w="100"/>
              <w:bottom w:type="dxa" w:w="80"/>
              <w:right w:type="dxa" w:w="80"/>
            </w:tcMar>
          </w:tcPr>
          <w:p>
            <w:pPr>
              <w:tabs>
                <w:tab w:val="right" w:pos="8500"/>
              </w:tabs>
              <w:spacing w:after="30"/>
            </w:pPr>
            <w:r>
              <w:rPr>
                <w:rFonts w:ascii="Cambria" w:cs="Cambria" w:eastAsia="Cambria" w:hAnsi="Cambria"/>
                <w:color w:val="32302F"/>
                <w:sz w:val="16"/>
                <w:szCs w:val="16"/>
              </w:rPr>
              <w:t xml:space="preserve">Moments Feed</w:t>
            </w:r>
            <w:r>
              <w:rPr>
                <w:rFonts w:ascii="Aptos" w:cs="Aptos" w:eastAsia="Aptos" w:hAnsi="Aptos"/>
                <w:color w:val="737373"/>
                <w:sz w:val="12"/>
                <w:szCs w:val="12"/>
              </w:rPr>
              <w:t xml:space="preserve">	All segments · co-authored by advisor</w:t>
            </w:r>
          </w:p>
          <w:p>
            <w:pPr>
              <w:spacing w:after="0" w:line="250"/>
            </w:pPr>
            <w:r>
              <w:rPr>
                <w:rFonts w:ascii="Aptos" w:cs="Aptos" w:eastAsia="Aptos" w:hAnsi="Aptos"/>
                <w:color w:val="525252"/>
                <w:sz w:val="14"/>
                <w:szCs w:val="14"/>
              </w:rPr>
              <w:t xml:space="preserve">Upgrades the existing Notifications feed from transactional to proactive. Builders: vest dates, lockup expiries. Compounders: contribution windows, life-stage milestones. Stewards: estate + intergenerational events.</w:t>
            </w:r>
          </w:p>
        </w:tc>
      </w:tr>
      <w:tr>
        <w:tc>
          <w:tcPr>
            <w:tcW w:type="dxa" w:w="700"/>
            <w:tcBorders>
              <w:top w:val="single" w:color="D4D4D4" w:sz="4"/>
              <w:left w:val="none" w:color="FFFFFF" w:sz="0"/>
              <w:bottom w:val="none" w:color="FFFFFF" w:sz="0"/>
              <w:right w:val="none" w:color="FFFFFF" w:sz="0"/>
            </w:tcBorders>
            <w:tcMar>
              <w:top w:type="dxa" w:w="80"/>
              <w:left w:type="dxa" w:w="0"/>
              <w:bottom w:type="dxa" w:w="80"/>
              <w:right w:type="dxa" w:w="80"/>
            </w:tcMar>
          </w:tcPr>
          <w:p>
            <w:pPr>
              <w:spacing w:after="0"/>
            </w:pPr>
            <w:r>
              <w:rPr>
                <w:rFonts w:ascii="Aptos" w:cs="Aptos" w:eastAsia="Aptos" w:hAnsi="Aptos"/>
                <w:b/>
                <w:bCs/>
                <w:color w:val="1F5C3D"/>
                <w:sz w:val="14"/>
                <w:szCs w:val="14"/>
              </w:rPr>
              <w:t xml:space="preserve">F3</w:t>
            </w:r>
          </w:p>
        </w:tc>
        <w:tc>
          <w:tcPr>
            <w:tcW w:type="dxa" w:w="8660"/>
            <w:tcBorders>
              <w:top w:val="single" w:color="D4D4D4" w:sz="4"/>
              <w:left w:val="none" w:color="FFFFFF" w:sz="0"/>
              <w:bottom w:val="none" w:color="FFFFFF" w:sz="0"/>
              <w:right w:val="none" w:color="FFFFFF" w:sz="0"/>
            </w:tcBorders>
            <w:tcMar>
              <w:top w:type="dxa" w:w="100"/>
              <w:left w:type="dxa" w:w="100"/>
              <w:bottom w:type="dxa" w:w="80"/>
              <w:right w:type="dxa" w:w="80"/>
            </w:tcMar>
          </w:tcPr>
          <w:p>
            <w:pPr>
              <w:tabs>
                <w:tab w:val="right" w:pos="8500"/>
              </w:tabs>
              <w:spacing w:after="30"/>
            </w:pPr>
            <w:r>
              <w:rPr>
                <w:rFonts w:ascii="Cambria" w:cs="Cambria" w:eastAsia="Cambria" w:hAnsi="Cambria"/>
                <w:color w:val="32302F"/>
                <w:sz w:val="16"/>
                <w:szCs w:val="16"/>
              </w:rPr>
              <w:t xml:space="preserve">Atlas Co-pilot</w:t>
            </w:r>
            <w:r>
              <w:rPr>
                <w:rFonts w:ascii="Aptos" w:cs="Aptos" w:eastAsia="Aptos" w:hAnsi="Aptos"/>
                <w:color w:val="737373"/>
                <w:sz w:val="12"/>
                <w:szCs w:val="12"/>
              </w:rPr>
              <w:t xml:space="preserve">	All segments · escalation depth varies</w:t>
            </w:r>
          </w:p>
          <w:p>
            <w:pPr>
              <w:spacing w:after="0" w:line="250"/>
            </w:pPr>
            <w:r>
              <w:rPr>
                <w:rFonts w:ascii="Aptos" w:cs="Aptos" w:eastAsia="Aptos" w:hAnsi="Aptos"/>
                <w:color w:val="525252"/>
                <w:sz w:val="14"/>
                <w:szCs w:val="14"/>
              </w:rPr>
              <w:t xml:space="preserve">Conversational AI grounded in portfolio + plan + advisor guidance. Cites sources. Per-segment escalation thresholds. Same model serves the advisor.</w:t>
            </w:r>
          </w:p>
        </w:tc>
      </w:tr>
    </w:tbl>
    <w:p>
      <w:pPr>
        <w:spacing w:after="0" w:before="200"/>
      </w:pPr>
      <w:r>
        <w:t xml:space="preserve"/>
      </w:r>
    </w:p>
    <w:p>
      <w:pPr>
        <w:pBdr>
          <w:top w:val="single" w:color="32302F" w:sz="8" w:space="4"/>
        </w:pBdr>
        <w:spacing w:after="40" w:before="40"/>
      </w:pPr>
      <w:r>
        <w:t xml:space="preserve"/>
      </w:r>
    </w:p>
    <w:p>
      <w:pPr>
        <w:spacing w:after="40" w:before="40"/>
      </w:pPr>
      <w:r>
        <w:rPr>
          <w:rFonts w:ascii="Aptos" w:cs="Aptos" w:eastAsia="Aptos" w:hAnsi="Aptos"/>
          <w:b/>
          <w:bCs/>
          <w:color w:val="1F5C3D"/>
          <w:spacing w:val="12"/>
          <w:sz w:val="12"/>
          <w:szCs w:val="12"/>
        </w:rPr>
        <w:t xml:space="preserve">THE BIG IDEA</w:t>
      </w:r>
    </w:p>
    <w:p>
      <w:pPr>
        <w:spacing w:after="40" w:before="0" w:line="280"/>
      </w:pPr>
      <w:r>
        <w:rPr>
          <w:rFonts w:ascii="Cambria" w:cs="Cambria" w:eastAsia="Cambria" w:hAnsi="Cambria"/>
          <w:color w:val="32302F"/>
          <w:sz w:val="17"/>
          <w:szCs w:val="17"/>
        </w:rPr>
        <w:t xml:space="preserve">Segmentation is the precondition. Without it, consistency is impossible. Build the unified system on top of three clear segments — and consistency becomes </w:t>
      </w:r>
      <w:r>
        <w:rPr>
          <w:rFonts w:ascii="Cambria" w:cs="Cambria" w:eastAsia="Cambria" w:hAnsi="Cambria"/>
          <w:b/>
          <w:bCs/>
          <w:color w:val="1F5C3D"/>
          <w:sz w:val="17"/>
          <w:szCs w:val="17"/>
        </w:rPr>
        <w:t xml:space="preserve">a property of the system</w:t>
      </w:r>
      <w:r>
        <w:rPr>
          <w:rFonts w:ascii="Cambria" w:cs="Cambria" w:eastAsia="Cambria" w:hAnsi="Cambria"/>
          <w:color w:val="32302F"/>
          <w:sz w:val="17"/>
          <w:szCs w:val="17"/>
        </w:rPr>
        <w:t xml:space="preserve">.</w:t>
      </w:r>
    </w:p>
    <w:p>
      <w:pPr>
        <w:pBdr>
          <w:top w:val="single" w:color="D4D4D4" w:sz="4" w:space="4"/>
        </w:pBdr>
        <w:tabs>
          <w:tab w:val="right" w:pos="9360"/>
        </w:tabs>
        <w:spacing w:after="0" w:before="100"/>
      </w:pPr>
      <w:r>
        <w:rPr>
          <w:rFonts w:ascii="Aptos" w:cs="Aptos" w:eastAsia="Aptos" w:hAnsi="Aptos"/>
          <w:color w:val="737373"/>
          <w:sz w:val="11"/>
          <w:szCs w:val="11"/>
        </w:rPr>
        <w:t xml:space="preserve">By Alex  ·  Director, Advice Innovation &amp; Experience  ·  Wealthsimple</w:t>
      </w:r>
      <w:r>
        <w:rPr>
          <w:rFonts w:ascii="Aptos" w:cs="Aptos" w:eastAsia="Aptos" w:hAnsi="Aptos"/>
          <w:color w:val="737373"/>
          <w:sz w:val="11"/>
          <w:szCs w:val="11"/>
        </w:rPr>
        <w:t xml:space="preserve">	April 2026</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cs="Aptos" w:eastAsia="Aptos" w:hAnsi="Aptos"/>
        <w:color w:val="32302F"/>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2026-04-26T13:03:04.905Z</dcterms:created>
  <dcterms:modified xsi:type="dcterms:W3CDTF">2026-04-26T13:03:04.906Z</dcterms:modified>
</cp:coreProperties>
</file>

<file path=docProps/custom.xml><?xml version="1.0" encoding="utf-8"?>
<Properties xmlns="http://schemas.openxmlformats.org/officeDocument/2006/custom-properties" xmlns:vt="http://schemas.openxmlformats.org/officeDocument/2006/docPropsVTypes"/>
</file>